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eastAsia="宋体"/>
          <w:color w:val="000000"/>
          <w:sz w:val="36"/>
          <w:szCs w:val="36"/>
        </w:rPr>
      </w:pPr>
      <w:r>
        <w:rPr>
          <w:rFonts w:hint="eastAsia" w:ascii="宋体" w:hAnsi="宋体" w:eastAsia="宋体" w:cs="仿宋_GB2312"/>
          <w:color w:val="000000"/>
          <w:sz w:val="32"/>
          <w:szCs w:val="32"/>
          <w:lang w:eastAsia="zh-CN"/>
        </w:rPr>
        <w:t>附件</w:t>
      </w:r>
      <w:r>
        <w:rPr>
          <w:rFonts w:hint="eastAsia" w:ascii="宋体" w:hAnsi="宋体" w:eastAsia="宋体" w:cs="仿宋_GB2312"/>
          <w:color w:val="000000"/>
          <w:sz w:val="32"/>
          <w:szCs w:val="32"/>
          <w:lang w:val="en-US" w:eastAsia="zh-CN"/>
        </w:rPr>
        <w:t>1：</w:t>
      </w:r>
      <w:r>
        <w:rPr>
          <w:rFonts w:hint="eastAsia" w:ascii="宋体" w:hAnsi="宋体" w:eastAsia="宋体" w:cs="仿宋_GB2312"/>
          <w:color w:val="000000"/>
          <w:sz w:val="32"/>
          <w:szCs w:val="32"/>
        </w:rPr>
        <w:t>附表</w:t>
      </w:r>
      <w:r>
        <w:rPr>
          <w:rFonts w:ascii="宋体" w:hAnsi="宋体" w:eastAsia="宋体" w:cs="仿宋_GB2312"/>
          <w:color w:val="000000"/>
          <w:sz w:val="32"/>
          <w:szCs w:val="32"/>
        </w:rPr>
        <w:t xml:space="preserve">2        </w:t>
      </w:r>
      <w:r>
        <w:rPr>
          <w:rFonts w:hint="eastAsia" w:ascii="宋体" w:hAnsi="宋体" w:eastAsia="宋体" w:cs="方正小标宋简体"/>
          <w:color w:val="000000"/>
          <w:sz w:val="32"/>
          <w:szCs w:val="32"/>
        </w:rPr>
        <w:t>“创新强校工程”考核自评打分表（应用型硕士授权高校）</w:t>
      </w:r>
    </w:p>
    <w:tbl>
      <w:tblPr>
        <w:tblStyle w:val="5"/>
        <w:tblW w:w="14822" w:type="dxa"/>
        <w:jc w:val="center"/>
        <w:tblInd w:w="-271" w:type="dxa"/>
        <w:tblLayout w:type="fixed"/>
        <w:tblCellMar>
          <w:top w:w="0" w:type="dxa"/>
          <w:left w:w="108" w:type="dxa"/>
          <w:bottom w:w="0" w:type="dxa"/>
          <w:right w:w="108" w:type="dxa"/>
        </w:tblCellMar>
      </w:tblPr>
      <w:tblGrid>
        <w:gridCol w:w="1222"/>
        <w:gridCol w:w="1275"/>
        <w:gridCol w:w="1785"/>
        <w:gridCol w:w="8784"/>
        <w:gridCol w:w="735"/>
        <w:gridCol w:w="1021"/>
      </w:tblGrid>
      <w:tr>
        <w:tblPrEx>
          <w:tblLayout w:type="fixed"/>
          <w:tblCellMar>
            <w:top w:w="0" w:type="dxa"/>
            <w:left w:w="108" w:type="dxa"/>
            <w:bottom w:w="0" w:type="dxa"/>
            <w:right w:w="108" w:type="dxa"/>
          </w:tblCellMar>
        </w:tblPrEx>
        <w:trPr>
          <w:trHeight w:val="648" w:hRule="atLeast"/>
          <w:tblHeader/>
          <w:jc w:val="center"/>
        </w:trPr>
        <w:tc>
          <w:tcPr>
            <w:tcW w:w="1222" w:type="dxa"/>
            <w:tcBorders>
              <w:top w:val="single" w:color="auto" w:sz="4" w:space="0"/>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ascii="宋体" w:hAnsi="宋体" w:eastAsia="宋体" w:cs="宋体"/>
                <w:b/>
                <w:bCs/>
                <w:sz w:val="20"/>
                <w:szCs w:val="20"/>
              </w:rPr>
            </w:pPr>
            <w:r>
              <w:rPr>
                <w:rFonts w:hint="eastAsia" w:ascii="宋体" w:hAnsi="宋体" w:eastAsia="宋体" w:cs="宋体"/>
                <w:b/>
                <w:bCs/>
                <w:sz w:val="20"/>
                <w:szCs w:val="20"/>
              </w:rPr>
              <w:t>一级指标</w:t>
            </w:r>
          </w:p>
        </w:tc>
        <w:tc>
          <w:tcPr>
            <w:tcW w:w="1275" w:type="dxa"/>
            <w:tcBorders>
              <w:top w:val="single" w:color="auto" w:sz="4" w:space="0"/>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b/>
                <w:bCs/>
                <w:sz w:val="20"/>
                <w:szCs w:val="20"/>
              </w:rPr>
            </w:pPr>
            <w:r>
              <w:rPr>
                <w:rFonts w:hint="eastAsia" w:ascii="宋体" w:hAnsi="宋体" w:eastAsia="宋体" w:cs="宋体"/>
                <w:b/>
                <w:bCs/>
                <w:sz w:val="20"/>
                <w:szCs w:val="20"/>
              </w:rPr>
              <w:t>二级指标</w:t>
            </w:r>
          </w:p>
        </w:tc>
        <w:tc>
          <w:tcPr>
            <w:tcW w:w="1785" w:type="dxa"/>
            <w:tcBorders>
              <w:top w:val="single" w:color="auto" w:sz="4" w:space="0"/>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b/>
                <w:bCs/>
                <w:sz w:val="20"/>
                <w:szCs w:val="20"/>
              </w:rPr>
            </w:pPr>
            <w:r>
              <w:rPr>
                <w:rFonts w:hint="eastAsia" w:ascii="宋体" w:hAnsi="宋体" w:eastAsia="宋体" w:cs="宋体"/>
                <w:b/>
                <w:bCs/>
                <w:sz w:val="20"/>
                <w:szCs w:val="20"/>
              </w:rPr>
              <w:t>三级指标</w:t>
            </w:r>
          </w:p>
        </w:tc>
        <w:tc>
          <w:tcPr>
            <w:tcW w:w="8784" w:type="dxa"/>
            <w:tcBorders>
              <w:top w:val="single" w:color="auto" w:sz="4" w:space="0"/>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b/>
                <w:bCs/>
                <w:sz w:val="20"/>
                <w:szCs w:val="20"/>
              </w:rPr>
            </w:pPr>
            <w:r>
              <w:rPr>
                <w:rFonts w:hint="eastAsia" w:ascii="宋体" w:hAnsi="宋体" w:eastAsia="宋体" w:cs="宋体"/>
                <w:b/>
                <w:bCs/>
                <w:sz w:val="20"/>
                <w:szCs w:val="20"/>
              </w:rPr>
              <w:t>计分办法</w:t>
            </w:r>
          </w:p>
        </w:tc>
        <w:tc>
          <w:tcPr>
            <w:tcW w:w="735" w:type="dxa"/>
            <w:tcBorders>
              <w:top w:val="single" w:color="auto" w:sz="4" w:space="0"/>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b/>
                <w:bCs/>
                <w:sz w:val="20"/>
                <w:szCs w:val="20"/>
              </w:rPr>
            </w:pPr>
            <w:r>
              <w:rPr>
                <w:rFonts w:hint="eastAsia" w:ascii="宋体" w:hAnsi="宋体" w:eastAsia="宋体" w:cs="宋体"/>
                <w:b/>
                <w:bCs/>
                <w:sz w:val="20"/>
                <w:szCs w:val="20"/>
              </w:rPr>
              <w:t>自评得分</w:t>
            </w:r>
          </w:p>
        </w:tc>
        <w:tc>
          <w:tcPr>
            <w:tcW w:w="1021" w:type="dxa"/>
            <w:tcBorders>
              <w:top w:val="single" w:color="auto" w:sz="4" w:space="0"/>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填报部门</w:t>
            </w:r>
          </w:p>
        </w:tc>
      </w:tr>
      <w:tr>
        <w:tblPrEx>
          <w:tblLayout w:type="fixed"/>
          <w:tblCellMar>
            <w:top w:w="0" w:type="dxa"/>
            <w:left w:w="108" w:type="dxa"/>
            <w:bottom w:w="0" w:type="dxa"/>
            <w:right w:w="108" w:type="dxa"/>
          </w:tblCellMar>
        </w:tblPrEx>
        <w:trPr>
          <w:trHeight w:val="657" w:hRule="atLeast"/>
          <w:jc w:val="center"/>
        </w:trPr>
        <w:tc>
          <w:tcPr>
            <w:tcW w:w="1222"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1.管理体制机制改革（10分）</w:t>
            </w: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1.1 管理体制机制改革举措及成效（10分）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1.1.1 现代大学制度建设（1分）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依照学校章程实施管理，规章体系完善；党委会和校长办公会议事规则的建立和完善，以学术委员会为核心的学术管理体系的建立。</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发规处</w:t>
            </w:r>
          </w:p>
        </w:tc>
      </w:tr>
      <w:tr>
        <w:tblPrEx>
          <w:tblLayout w:type="fixed"/>
          <w:tblCellMar>
            <w:top w:w="0" w:type="dxa"/>
            <w:left w:w="108" w:type="dxa"/>
            <w:bottom w:w="0" w:type="dxa"/>
            <w:right w:w="108" w:type="dxa"/>
          </w:tblCellMar>
        </w:tblPrEx>
        <w:trPr>
          <w:trHeight w:val="636"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★1.1.2 人事管理制度改革（3分）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高校在岗位分类、人才延揽、培养培训、考核评价、薪酬激励、流动退出等方面改革举措及成效，体现教育综合改革的要求。</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792"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1.1.3 人才培养机制改革（1分）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落实教学工作中心地位，把本科教学作为高校最基础、最根本的工作，领导精力、师资力量、资源配置、经费安排和工作评价都要体现以教学为中心，完善教师教学工作的约束和激励机制。</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1185"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★1.1.4科研体制机制改革（3分）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积极鼓励和支持产学研合作、开展协同创新的体制机制，支持教师在岗离岗创业情况，激发教师创新积极性的收益分配改革情况，促进科研成果转移转化的机构建设和运作情况，科研人员及科研成果分类评价、分类考核情况，科研组织管理模式改革情况等。由专家根据学校落实国家和省有关文件精神、推进改革的举措和成效进行评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科社处、科技处</w:t>
            </w:r>
          </w:p>
        </w:tc>
      </w:tr>
      <w:tr>
        <w:tblPrEx>
          <w:tblLayout w:type="fixed"/>
          <w:tblCellMar>
            <w:top w:w="0" w:type="dxa"/>
            <w:left w:w="108" w:type="dxa"/>
            <w:bottom w:w="0" w:type="dxa"/>
            <w:right w:w="108" w:type="dxa"/>
          </w:tblCellMar>
        </w:tblPrEx>
        <w:trPr>
          <w:trHeight w:val="597"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1.1.5 资源配置机制改革（2分）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合理配置学校各类资源、建立资源共享平台，制订共建共享制度。</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发规处</w:t>
            </w:r>
          </w:p>
        </w:tc>
      </w:tr>
      <w:tr>
        <w:tblPrEx>
          <w:tblLayout w:type="fixed"/>
          <w:tblCellMar>
            <w:top w:w="0" w:type="dxa"/>
            <w:left w:w="108" w:type="dxa"/>
            <w:bottom w:w="0" w:type="dxa"/>
            <w:right w:w="108" w:type="dxa"/>
          </w:tblCellMar>
        </w:tblPrEx>
        <w:trPr>
          <w:trHeight w:val="786" w:hRule="atLeast"/>
          <w:jc w:val="center"/>
        </w:trPr>
        <w:tc>
          <w:tcPr>
            <w:tcW w:w="1222"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2.师资队伍（20分）</w:t>
            </w: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2.1队伍规模及结构（3分）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2.1.1生师比（1分）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color w:val="FF0000"/>
                <w:sz w:val="20"/>
                <w:szCs w:val="20"/>
              </w:rPr>
            </w:pPr>
            <w:r>
              <w:rPr>
                <w:rFonts w:hint="eastAsia" w:ascii="宋体" w:hAnsi="宋体" w:eastAsia="宋体" w:cs="宋体"/>
                <w:b w:val="0"/>
                <w:bCs w:val="0"/>
                <w:color w:val="auto"/>
                <w:sz w:val="20"/>
                <w:szCs w:val="20"/>
              </w:rPr>
              <w:t>生师比达到国家规定要求18:1（医学院校16：1，体育艺术院校11:1)的，得0.5分，未达到规定要求的，得0分。达到17:1（医学院校15：1，体育艺术院校10:1)的，加0.5分。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1623"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2.1.2 学历结构（2分）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专任教师中具有博士学位的比例逐年增加。达到年度要求的，得1.5分，每高于年度要求1％，加0.1分；每低于年度要求1%，少得0.1分（最高得2分，最低得0分）。</w:t>
            </w:r>
            <w:r>
              <w:rPr>
                <w:rFonts w:hint="eastAsia" w:ascii="宋体" w:hAnsi="宋体" w:eastAsia="宋体" w:cs="宋体"/>
                <w:sz w:val="20"/>
                <w:szCs w:val="20"/>
              </w:rPr>
              <w:br w:type="textWrapping"/>
            </w:r>
            <w:r>
              <w:rPr>
                <w:rFonts w:hint="eastAsia" w:ascii="宋体" w:hAnsi="宋体" w:eastAsia="宋体" w:cs="宋体"/>
                <w:sz w:val="20"/>
                <w:szCs w:val="20"/>
              </w:rPr>
              <w:t>年度要求为：2016年达25％，2017年达27％，2018年达30％，2019年达35％，2020年达40％。其中体育、艺术类高校2016年需达20％，2017年需达22％，2018年需达25％，2019年需达30％，2020年需达35％。</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1707"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2.2教师专业发展（14分）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★2.2.1 高层次人才引培（4分）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 xml:space="preserve">年度引进或入选省部级及以上高层次人才项目人数： </w:t>
            </w:r>
            <w:r>
              <w:rPr>
                <w:rFonts w:hint="eastAsia" w:ascii="宋体" w:hAnsi="宋体" w:eastAsia="宋体" w:cs="宋体"/>
                <w:sz w:val="20"/>
                <w:szCs w:val="20"/>
              </w:rPr>
              <w:br w:type="textWrapping"/>
            </w:r>
            <w:r>
              <w:rPr>
                <w:rFonts w:hint="eastAsia" w:ascii="宋体" w:hAnsi="宋体" w:eastAsia="宋体" w:cs="宋体"/>
                <w:sz w:val="20"/>
                <w:szCs w:val="20"/>
              </w:rPr>
              <w:t>（1）院士（1分/人）；</w:t>
            </w:r>
            <w:r>
              <w:rPr>
                <w:rFonts w:hint="eastAsia" w:ascii="宋体" w:hAnsi="宋体" w:eastAsia="宋体" w:cs="宋体"/>
                <w:sz w:val="20"/>
                <w:szCs w:val="20"/>
              </w:rPr>
              <w:br w:type="textWrapping"/>
            </w:r>
            <w:r>
              <w:rPr>
                <w:rFonts w:hint="eastAsia" w:ascii="宋体" w:hAnsi="宋体" w:eastAsia="宋体" w:cs="宋体"/>
                <w:sz w:val="20"/>
                <w:szCs w:val="20"/>
              </w:rPr>
              <w:t>（2）长江学者、国家杰青、千人（不含青年千人）、万人（不含青年万人）、国家教学名师等国家级高层次人才项目及其他相应层次人才项目（0.3分/人）；</w:t>
            </w:r>
            <w:r>
              <w:rPr>
                <w:rFonts w:hint="eastAsia" w:ascii="宋体" w:hAnsi="宋体" w:eastAsia="宋体" w:cs="宋体"/>
                <w:sz w:val="20"/>
                <w:szCs w:val="20"/>
              </w:rPr>
              <w:br w:type="textWrapping"/>
            </w:r>
            <w:r>
              <w:rPr>
                <w:rFonts w:hint="eastAsia" w:ascii="宋体" w:hAnsi="宋体" w:eastAsia="宋体" w:cs="宋体"/>
                <w:sz w:val="20"/>
                <w:szCs w:val="20"/>
              </w:rPr>
              <w:t>（3）国家青年千人、国家青年万人及省级高层次人才项目及其他相应层次人才项目(0.2分/人)。</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1113"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★2.2.2 教师培养培训（3分）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 xml:space="preserve">（1）开展本校特色教师人才培养项目成效明显，得1分。 </w:t>
            </w:r>
            <w:r>
              <w:rPr>
                <w:rFonts w:hint="eastAsia" w:ascii="宋体" w:hAnsi="宋体" w:eastAsia="宋体" w:cs="宋体"/>
                <w:sz w:val="20"/>
                <w:szCs w:val="20"/>
              </w:rPr>
              <w:br w:type="textWrapping"/>
            </w:r>
            <w:r>
              <w:rPr>
                <w:rFonts w:hint="eastAsia" w:ascii="宋体" w:hAnsi="宋体" w:eastAsia="宋体" w:cs="宋体"/>
                <w:sz w:val="20"/>
                <w:szCs w:val="20"/>
              </w:rPr>
              <w:t>（2）建有高校教师发展中心，并且开展岗前培训、业务培训等培训工作成效明显，得1分。</w:t>
            </w:r>
            <w:r>
              <w:rPr>
                <w:rFonts w:hint="eastAsia" w:ascii="宋体" w:hAnsi="宋体" w:eastAsia="宋体" w:cs="宋体"/>
                <w:sz w:val="20"/>
                <w:szCs w:val="20"/>
              </w:rPr>
              <w:br w:type="textWrapping"/>
            </w:r>
            <w:r>
              <w:rPr>
                <w:rFonts w:hint="eastAsia" w:ascii="宋体" w:hAnsi="宋体" w:eastAsia="宋体" w:cs="宋体"/>
                <w:sz w:val="20"/>
                <w:szCs w:val="20"/>
              </w:rPr>
              <w:t>（3）年度入选“广东省优秀青年教师培养计划”人数：0.2分/人，最高得1分。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2154"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2.2.3 双师双能教师引育（4分）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（1）具有企业、行业工作经历的新聘教师比例（最高得1分）：</w:t>
            </w:r>
            <w:r>
              <w:rPr>
                <w:rFonts w:hint="eastAsia" w:ascii="宋体" w:hAnsi="宋体" w:eastAsia="宋体" w:cs="宋体"/>
                <w:sz w:val="20"/>
                <w:szCs w:val="20"/>
              </w:rPr>
              <w:br w:type="textWrapping"/>
            </w:r>
            <w:r>
              <w:rPr>
                <w:rFonts w:hint="eastAsia" w:ascii="宋体" w:hAnsi="宋体" w:eastAsia="宋体" w:cs="宋体"/>
                <w:sz w:val="20"/>
                <w:szCs w:val="20"/>
              </w:rPr>
              <w:t xml:space="preserve">  占年度新聘教师比例20%，得0.5分。每高2%，加0.1分；每低2%，少得0.1分。</w:t>
            </w:r>
            <w:r>
              <w:rPr>
                <w:rFonts w:hint="eastAsia" w:ascii="宋体" w:hAnsi="宋体" w:eastAsia="宋体" w:cs="宋体"/>
                <w:sz w:val="20"/>
                <w:szCs w:val="20"/>
              </w:rPr>
              <w:br w:type="textWrapping"/>
            </w:r>
            <w:r>
              <w:rPr>
                <w:rFonts w:hint="eastAsia" w:ascii="宋体" w:hAnsi="宋体" w:eastAsia="宋体" w:cs="宋体"/>
                <w:sz w:val="20"/>
                <w:szCs w:val="20"/>
              </w:rPr>
              <w:t>（2）年度选送教师到企业、行业接受培训、挂职和实践锻炼人数比例（最高得1分）：达到10%，得0.5分。每高1%。加0.1分；每低1%，少得0.1分。</w:t>
            </w:r>
            <w:r>
              <w:rPr>
                <w:rFonts w:hint="eastAsia" w:ascii="宋体" w:hAnsi="宋体" w:eastAsia="宋体" w:cs="宋体"/>
                <w:sz w:val="20"/>
                <w:szCs w:val="20"/>
              </w:rPr>
              <w:br w:type="textWrapping"/>
            </w:r>
            <w:r>
              <w:rPr>
                <w:rFonts w:hint="eastAsia" w:ascii="宋体" w:hAnsi="宋体" w:eastAsia="宋体" w:cs="宋体"/>
                <w:sz w:val="20"/>
                <w:szCs w:val="20"/>
              </w:rPr>
              <w:t>（3）双师双能教师占专任教师比例达到年度标准，得1分。每高2%，加0.1分；每低2%，少得0.1分（最高得2分）： 年度要求为：2016年达到15%，2017年达到20%，2018年达到30%，2019年达到40%，2020年达到50%。</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2442"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2.2.4教师交流访学（3分）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（1）具有国（境）外教育背景或国（境）外高校、科研机构连续工作1年以上经历的专任教师（不含外籍人士）比例（最高得1分）：</w:t>
            </w:r>
            <w:r>
              <w:rPr>
                <w:rFonts w:hint="eastAsia" w:ascii="宋体" w:hAnsi="宋体" w:eastAsia="宋体" w:cs="宋体"/>
                <w:sz w:val="20"/>
                <w:szCs w:val="20"/>
              </w:rPr>
              <w:br w:type="textWrapping"/>
            </w:r>
            <w:r>
              <w:rPr>
                <w:rFonts w:hint="eastAsia" w:ascii="宋体" w:hAnsi="宋体" w:eastAsia="宋体" w:cs="宋体"/>
                <w:sz w:val="20"/>
                <w:szCs w:val="20"/>
              </w:rPr>
              <w:t>达到10%，得0.5分。每低1%，减0.1分。较前一年每增长1%，加0.2分。</w:t>
            </w:r>
            <w:r>
              <w:rPr>
                <w:rFonts w:hint="eastAsia" w:ascii="宋体" w:hAnsi="宋体" w:eastAsia="宋体" w:cs="宋体"/>
                <w:sz w:val="20"/>
                <w:szCs w:val="20"/>
              </w:rPr>
              <w:br w:type="textWrapping"/>
            </w:r>
            <w:r>
              <w:rPr>
                <w:rFonts w:hint="eastAsia" w:ascii="宋体" w:hAnsi="宋体" w:eastAsia="宋体" w:cs="宋体"/>
                <w:sz w:val="20"/>
                <w:szCs w:val="20"/>
              </w:rPr>
              <w:t>以下2项分数之和，最高得2分。</w:t>
            </w:r>
            <w:r>
              <w:rPr>
                <w:rFonts w:hint="eastAsia" w:ascii="宋体" w:hAnsi="宋体" w:eastAsia="宋体" w:cs="宋体"/>
                <w:sz w:val="20"/>
                <w:szCs w:val="20"/>
              </w:rPr>
              <w:br w:type="textWrapping"/>
            </w:r>
            <w:r>
              <w:rPr>
                <w:rFonts w:hint="eastAsia" w:ascii="宋体" w:hAnsi="宋体" w:eastAsia="宋体" w:cs="宋体"/>
                <w:sz w:val="20"/>
                <w:szCs w:val="20"/>
              </w:rPr>
              <w:t>（2）年度选派中青年教师到国内外访学进修（3个月以上）、在职攻读博士学位：达到5%得1分。每高1%，加0.1分；每低1%，少得0.1分。</w:t>
            </w:r>
            <w:r>
              <w:rPr>
                <w:rFonts w:hint="eastAsia" w:ascii="宋体" w:hAnsi="宋体" w:eastAsia="宋体" w:cs="宋体"/>
                <w:sz w:val="20"/>
                <w:szCs w:val="20"/>
              </w:rPr>
              <w:br w:type="textWrapping"/>
            </w:r>
            <w:r>
              <w:rPr>
                <w:rFonts w:hint="eastAsia" w:ascii="宋体" w:hAnsi="宋体" w:eastAsia="宋体" w:cs="宋体"/>
                <w:sz w:val="20"/>
                <w:szCs w:val="20"/>
              </w:rPr>
              <w:t>（3）年度选派教师参加国际学术交流比例：达到15%得0.5分。每高1%，加0.1分；每低1%，少得0.1分。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1263"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2.3教师管理（3分）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★2.3.1 管理及制度建设(3分)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（1）有教师队伍建设规划及强师工程实施方案（1分），开展顺利成效明显的加0.5分；开展成效不明显的减0.5分。无规划和方案为0分。</w:t>
            </w:r>
            <w:r>
              <w:rPr>
                <w:rFonts w:hint="eastAsia" w:ascii="宋体" w:hAnsi="宋体" w:eastAsia="宋体" w:cs="宋体"/>
                <w:sz w:val="20"/>
                <w:szCs w:val="20"/>
              </w:rPr>
              <w:br w:type="textWrapping"/>
            </w:r>
            <w:r>
              <w:rPr>
                <w:rFonts w:hint="eastAsia" w:ascii="宋体" w:hAnsi="宋体" w:eastAsia="宋体" w:cs="宋体"/>
                <w:sz w:val="20"/>
                <w:szCs w:val="20"/>
              </w:rPr>
              <w:t>（2）有师德建设规章制度，年度开展师德建设活动（1分），成效明显的加0.5分；成效不明显的减0.5分。制度不健全、没有开展师德建设活动或出现严重师德问题的，得0分。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747" w:hRule="atLeast"/>
          <w:jc w:val="center"/>
        </w:trPr>
        <w:tc>
          <w:tcPr>
            <w:tcW w:w="1222"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bookmarkStart w:id="0" w:name="OLE_LINK2"/>
            <w:r>
              <w:rPr>
                <w:rFonts w:hint="eastAsia" w:ascii="宋体" w:hAnsi="宋体" w:eastAsia="宋体" w:cs="宋体"/>
                <w:sz w:val="20"/>
                <w:szCs w:val="20"/>
              </w:rPr>
              <w:t>3.人才培养</w:t>
            </w:r>
            <w:bookmarkEnd w:id="0"/>
            <w:r>
              <w:rPr>
                <w:rFonts w:hint="eastAsia" w:ascii="宋体" w:hAnsi="宋体" w:eastAsia="宋体" w:cs="宋体"/>
                <w:sz w:val="20"/>
                <w:szCs w:val="20"/>
              </w:rPr>
              <w:t>（34分）</w:t>
            </w: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3.1专业和课程建设(5分)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3.1.1专业认证（1分）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学校通过国际或国内权威机构认证的专业占学校工学门类、临床医学类、中医学类、药学类专业比例最高的满分（1分），其他高校按比例得分；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1551"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★3.1.2优质专业和课程建设（2分）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年度内获国家级和省级优质专业（含重点、特色、品牌专业、综合改革试点专业、卓越人才培养专业、示范专业等）称号专业占学校所有专业比例最高者满分（1分），其他高校按比例得分；学校年度内获国家级、省级精品开放课程（含精品资源共享课和精品视频公开课）称号课程数最高者满分（1分），其他高校按比例得分。其中，国家级项目按1：2折合成省级项目计算，同一专业或课程只计算一次。</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534"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3.1.3校企共建专业(2分)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学校引入行业企业标准改造专业、课程及校企共建专业情况。</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846"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tcBorders>
              <w:top w:val="nil"/>
              <w:left w:val="nil"/>
              <w:bottom w:val="nil"/>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3.2教师教学能力(2分)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3.2.1教师教学能力提升（2分）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学校年度内获得国家级教学名师、国家级“特支计划”教学名师1项及以上者满分（2分）或者年度内获省级教学名师、“特支计划”教学名师每项得1分，获省级教学团队称号每项得0.5分，满分2分。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人事处</w:t>
            </w:r>
          </w:p>
        </w:tc>
      </w:tr>
      <w:tr>
        <w:tblPrEx>
          <w:tblLayout w:type="fixed"/>
          <w:tblCellMar>
            <w:top w:w="0" w:type="dxa"/>
            <w:left w:w="108" w:type="dxa"/>
            <w:bottom w:w="0" w:type="dxa"/>
            <w:right w:w="108" w:type="dxa"/>
          </w:tblCellMar>
        </w:tblPrEx>
        <w:trPr>
          <w:trHeight w:val="1347"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3.3实践教学（6分）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3.3.1实践（实训）教学学分（学时）数占比(1分)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构建科学合理的应用型人才培养课程体系，专业实践（实训）教学学分数（学时）占比达到本科教学合格评估标准的满分（1分）（其中，人文社会科类专业实践教学占总学分（学时）比例不低于20%，理工农医类专业实践教学占总学分（学时）比例不低于25%，师范类专业教育实习不少于12周），未达标的不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90"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★3.3.2校内外实验（实践）教学平台建设(2分)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年度新增国家级实验教学示范中心、实践教学基地、实践教育平台、虚拟仿真实验室1项及以上者满分(1分）或者年度通过以上项目省级验收每项得0.2分，满分2分；校企共建实践教学基地情况（1分）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642"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3.3.3创新创业教育（4分）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学校有面向全体学生开设创新思维、方法训练类课程（1分）；省级以上创新创业教育示范校（1分）；其他创新创业教育平台建设、创新创业教师队伍建设（2分）。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627"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3.4人才培养模式改革及成效(9分)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3.4.1学分制改革（1分）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专家根据学校学分制改革制度及实施效果进行打分。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732"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★3.4.2校企协同育人（3分）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学校开展政校行企协同育人的举措和成效（2分）；学校获得省级协同育人平台数量最高者满分(1分)，其他高校按比例得分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1056"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3.4.3信息化建设及国际、港澳台交流与合作(2分)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推动案例教学、项目教学、信息化教学的举措和成效（1分）；学校与国（境）外合作办学、国（境）外优秀教学资源的利用（如教学标准、课程的引进和改造）、学生出国（境）交流学习及接收留学生的举措和成效（1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教务处、外事处</w:t>
            </w:r>
          </w:p>
        </w:tc>
      </w:tr>
      <w:tr>
        <w:tblPrEx>
          <w:tblLayout w:type="fixed"/>
          <w:tblCellMar>
            <w:top w:w="0" w:type="dxa"/>
            <w:left w:w="108" w:type="dxa"/>
            <w:bottom w:w="0" w:type="dxa"/>
            <w:right w:w="108" w:type="dxa"/>
          </w:tblCellMar>
        </w:tblPrEx>
        <w:trPr>
          <w:trHeight w:val="717"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3.4.4教学成果奖（3分）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学校获得的最近一届国家、省高等教育教学成果奖数量。获国家级二等奖以上者满分（2分）或者获省级一等奖每项1分，二等奖每项0.5分，满分3分。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759"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3.5质量保障体系建设及成效（6分）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★3.5.1教学评估（2分）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学校开展多样化的教学评估，如专业评估、院系评估、课程评估，积极引入政校行企参与教学标准制定。由专家根据学校教学质量保障体系建设及成效进行打分。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864"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3.5.2学科、技能竞赛（2分）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学生当年参加省级及以上挑战杯大赛、互联网+大学生创新创业大赛、数学建模竞赛等3类竞赛获奖情况。获得国家级及以上奖项每项得0.5分，获省级奖项每项得0.25分，满分2分。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591"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3.5.3毕业设计论文选题(2分)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学生毕业设计（论文）选题来源于生产与社会实践课题比例达75%以上</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教务处</w:t>
            </w:r>
          </w:p>
        </w:tc>
      </w:tr>
      <w:tr>
        <w:tblPrEx>
          <w:tblLayout w:type="fixed"/>
          <w:tblCellMar>
            <w:top w:w="0" w:type="dxa"/>
            <w:left w:w="108" w:type="dxa"/>
            <w:bottom w:w="0" w:type="dxa"/>
            <w:right w:w="108" w:type="dxa"/>
          </w:tblCellMar>
        </w:tblPrEx>
        <w:trPr>
          <w:trHeight w:val="90"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3.6研究生培养（5分）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3.6.1研究生生源质量（1分）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研究生第一志愿录取数与招生计划数之比从高到低排序，前50%得2分,49%—31%得1分，后30%得分为0。</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研究生学院</w:t>
            </w:r>
          </w:p>
        </w:tc>
      </w:tr>
      <w:tr>
        <w:tblPrEx>
          <w:tblLayout w:type="fixed"/>
          <w:tblCellMar>
            <w:top w:w="0" w:type="dxa"/>
            <w:left w:w="108" w:type="dxa"/>
            <w:bottom w:w="0" w:type="dxa"/>
            <w:right w:w="108" w:type="dxa"/>
          </w:tblCellMar>
        </w:tblPrEx>
        <w:trPr>
          <w:trHeight w:val="651"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★3.6.2研究生学位论文质量（2分）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硕士学位论文抽检存在问题学位论文的得0分，不存在的得2分。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lang w:eastAsia="zh-CN"/>
              </w:rPr>
              <w:t>研究生学院</w:t>
            </w:r>
          </w:p>
        </w:tc>
      </w:tr>
      <w:tr>
        <w:tblPrEx>
          <w:tblLayout w:type="fixed"/>
          <w:tblCellMar>
            <w:top w:w="0" w:type="dxa"/>
            <w:left w:w="108" w:type="dxa"/>
            <w:bottom w:w="0" w:type="dxa"/>
            <w:right w:w="108" w:type="dxa"/>
          </w:tblCellMar>
        </w:tblPrEx>
        <w:trPr>
          <w:trHeight w:val="1614"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3.6.3专业学位研究生实践培养（2分)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分为2个部分：</w:t>
            </w:r>
            <w:r>
              <w:rPr>
                <w:rFonts w:hint="eastAsia" w:ascii="宋体" w:hAnsi="宋体" w:eastAsia="宋体" w:cs="宋体"/>
                <w:sz w:val="20"/>
                <w:szCs w:val="20"/>
              </w:rPr>
              <w:br w:type="textWrapping"/>
            </w:r>
            <w:r>
              <w:rPr>
                <w:rFonts w:hint="eastAsia" w:ascii="宋体" w:hAnsi="宋体" w:eastAsia="宋体" w:cs="宋体"/>
                <w:sz w:val="20"/>
                <w:szCs w:val="20"/>
              </w:rPr>
              <w:t>（1）专业学位研究生在实践基地培养半年以上的人数与在校专业学位研究生总人数之比，从高到低排序，前50%得1分,49%—31%得0.5分，后30%得分为0。</w:t>
            </w:r>
            <w:r>
              <w:rPr>
                <w:rFonts w:hint="eastAsia" w:ascii="宋体" w:hAnsi="宋体" w:eastAsia="宋体" w:cs="宋体"/>
                <w:sz w:val="20"/>
                <w:szCs w:val="20"/>
              </w:rPr>
              <w:br w:type="textWrapping"/>
            </w:r>
            <w:r>
              <w:rPr>
                <w:rFonts w:hint="eastAsia" w:ascii="宋体" w:hAnsi="宋体" w:eastAsia="宋体" w:cs="宋体"/>
                <w:sz w:val="20"/>
                <w:szCs w:val="20"/>
              </w:rPr>
              <w:t>（2）当年新增省级研究生联合培养基地（含海外实践实训基地）的数量，从高到低排序，前50%得1分,49%—31%得0.5分，后30%得分为0。</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lang w:eastAsia="zh-CN"/>
              </w:rPr>
              <w:t>研究生学院</w:t>
            </w:r>
          </w:p>
        </w:tc>
      </w:tr>
      <w:tr>
        <w:tblPrEx>
          <w:tblLayout w:type="fixed"/>
          <w:tblCellMar>
            <w:top w:w="0" w:type="dxa"/>
            <w:left w:w="108" w:type="dxa"/>
            <w:bottom w:w="0" w:type="dxa"/>
            <w:right w:w="108" w:type="dxa"/>
          </w:tblCellMar>
        </w:tblPrEx>
        <w:trPr>
          <w:trHeight w:val="1518" w:hRule="atLeast"/>
          <w:jc w:val="center"/>
        </w:trPr>
        <w:tc>
          <w:tcPr>
            <w:tcW w:w="1222"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4.学科建设与科学研究（16分）</w:t>
            </w:r>
          </w:p>
        </w:tc>
        <w:tc>
          <w:tcPr>
            <w:tcW w:w="127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4.1重点学科培育建设（2分）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★4.1.1 省级重点学科的增量（或层次提升）（2分）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省（部）级重点学科包括广东省重点学科及国家部委公开遴选的重点学科。层次提升是指同一类别中不同层次的提升，不同类别间不为提升。</w:t>
            </w:r>
            <w:r>
              <w:rPr>
                <w:rFonts w:hint="eastAsia" w:ascii="宋体" w:hAnsi="宋体" w:eastAsia="宋体" w:cs="宋体"/>
                <w:sz w:val="20"/>
                <w:szCs w:val="20"/>
              </w:rPr>
              <w:br w:type="textWrapping"/>
            </w:r>
            <w:r>
              <w:rPr>
                <w:rFonts w:hint="eastAsia" w:ascii="宋体" w:hAnsi="宋体" w:eastAsia="宋体" w:cs="宋体"/>
                <w:sz w:val="20"/>
                <w:szCs w:val="20"/>
              </w:rPr>
              <w:t>4.1.1当年有新增或提升层次的省(部)级重点学科的每个得2分，当年没有而往年有新增或提升层次的省（部级）重点学科的每个得1分，近2年没有新增或提升层次的得分为0。超过满分的按满分计。</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学科办</w:t>
            </w:r>
          </w:p>
        </w:tc>
      </w:tr>
      <w:tr>
        <w:tblPrEx>
          <w:tblLayout w:type="fixed"/>
          <w:tblCellMar>
            <w:top w:w="0" w:type="dxa"/>
            <w:left w:w="108" w:type="dxa"/>
            <w:bottom w:w="0" w:type="dxa"/>
            <w:right w:w="108" w:type="dxa"/>
          </w:tblCellMar>
        </w:tblPrEx>
        <w:trPr>
          <w:trHeight w:val="1395"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4.2学位点建设质量及动态调整（1分）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4.2.1硕士学位授权点合格评估（1分）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学位授权点评估是指教育部或省教育厅组织的评估。</w:t>
            </w:r>
            <w:r>
              <w:rPr>
                <w:rFonts w:hint="eastAsia" w:ascii="宋体" w:hAnsi="宋体" w:eastAsia="宋体" w:cs="宋体"/>
                <w:sz w:val="20"/>
                <w:szCs w:val="20"/>
              </w:rPr>
              <w:br w:type="textWrapping"/>
            </w:r>
            <w:r>
              <w:rPr>
                <w:rFonts w:hint="eastAsia" w:ascii="宋体" w:hAnsi="宋体" w:eastAsia="宋体" w:cs="宋体"/>
                <w:sz w:val="20"/>
                <w:szCs w:val="20"/>
              </w:rPr>
              <w:t>4.2.1当年水平评估、专项评估、合格评估中有限期整改学位点的学校得0分，当年水平评估、专项评估、合格评估中有不合格学位点的学校扣1分，往年水平评估、专项评估、合格评估中有不合格学位点的学校扣0.5分，1分扣完为止。不存在以上两种情况的得1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lang w:eastAsia="zh-CN"/>
              </w:rPr>
              <w:t>学科办</w:t>
            </w:r>
          </w:p>
        </w:tc>
      </w:tr>
      <w:tr>
        <w:tblPrEx>
          <w:tblLayout w:type="fixed"/>
          <w:tblCellMar>
            <w:top w:w="0" w:type="dxa"/>
            <w:left w:w="108" w:type="dxa"/>
            <w:bottom w:w="0" w:type="dxa"/>
            <w:right w:w="108" w:type="dxa"/>
          </w:tblCellMar>
        </w:tblPrEx>
        <w:trPr>
          <w:trHeight w:val="957"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4.3 协同创新平台培育建设（3分）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4.3.1 协同创新平台自主培育（1分）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投入的经费情况，学校所给予的专职岗位、固定场所、配套改革政策措施等落实情况（1分）；学校培育组建的协同创新中心的运行情况和成果产出情况（1分）。由专家根据学校的投入、保障力度和有关平台运行产出情况进行评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1092"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★4.3.2 协同创新平台认定及建设成效（2分）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当年获得1个省级认定协同创新中心的本项得满分2分，当年获1个省级认定培育项目得1分；省级协同创新平台的建设成效根据当年的考核评估情况计分：考核评估优秀加1.5分、良好加1分、不合格扣2分；加满或扣完为止。</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3063"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4.4 高层次科研创新平台建设（3分）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★4.4.1 现有或新增高层次科研创新平台及建设成效（3分）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若学校当年获批国家级平台或教育部平台1项及以上的，或省部级平台取得零的突破的，该指标得满分3分；否则计算得分：</w:t>
            </w:r>
            <w:r>
              <w:rPr>
                <w:rFonts w:hint="eastAsia" w:ascii="宋体" w:hAnsi="宋体" w:eastAsia="宋体" w:cs="宋体"/>
                <w:sz w:val="20"/>
                <w:szCs w:val="20"/>
              </w:rPr>
              <w:br w:type="textWrapping"/>
            </w:r>
            <w:r>
              <w:rPr>
                <w:rFonts w:hint="eastAsia" w:ascii="宋体" w:hAnsi="宋体" w:eastAsia="宋体" w:cs="宋体"/>
                <w:sz w:val="20"/>
                <w:szCs w:val="20"/>
              </w:rPr>
              <w:t>计分点数1＝∑（学校现有牵头负责的科研平台数量×平台系数），计分点数最高的高校得满分，其余学校按比例计算相应得分；</w:t>
            </w:r>
            <w:r>
              <w:rPr>
                <w:rFonts w:hint="eastAsia" w:ascii="宋体" w:hAnsi="宋体" w:eastAsia="宋体" w:cs="宋体"/>
                <w:sz w:val="20"/>
                <w:szCs w:val="20"/>
              </w:rPr>
              <w:br w:type="textWrapping"/>
            </w:r>
            <w:r>
              <w:rPr>
                <w:rFonts w:hint="eastAsia" w:ascii="宋体" w:hAnsi="宋体" w:eastAsia="宋体" w:cs="宋体"/>
                <w:sz w:val="20"/>
                <w:szCs w:val="20"/>
              </w:rPr>
              <w:t>计分点数2＝∑（当年学校牵头获批的科研平台数量×平台系数），计分点数最高的高校得满分，其余学校按比例计算相应得分；</w:t>
            </w:r>
            <w:r>
              <w:rPr>
                <w:rFonts w:hint="eastAsia" w:ascii="宋体" w:hAnsi="宋体" w:eastAsia="宋体" w:cs="宋体"/>
                <w:sz w:val="20"/>
                <w:szCs w:val="20"/>
              </w:rPr>
              <w:br w:type="textWrapping"/>
            </w:r>
            <w:r>
              <w:rPr>
                <w:rFonts w:hint="eastAsia" w:ascii="宋体" w:hAnsi="宋体" w:eastAsia="宋体" w:cs="宋体"/>
                <w:sz w:val="20"/>
                <w:szCs w:val="20"/>
              </w:rPr>
              <w:t>平台建设成效采取倒扣分制，当年评估或验收不合格的平台每个扣1分；</w:t>
            </w:r>
            <w:r>
              <w:rPr>
                <w:rFonts w:hint="eastAsia" w:ascii="宋体" w:hAnsi="宋体" w:eastAsia="宋体" w:cs="宋体"/>
                <w:sz w:val="20"/>
                <w:szCs w:val="20"/>
              </w:rPr>
              <w:br w:type="textWrapping"/>
            </w:r>
            <w:r>
              <w:rPr>
                <w:rFonts w:hint="eastAsia" w:ascii="宋体" w:hAnsi="宋体" w:eastAsia="宋体" w:cs="宋体"/>
                <w:sz w:val="20"/>
                <w:szCs w:val="20"/>
              </w:rPr>
              <w:t>平台系数为：科技类省级平台2、厅级平台1；社科类省级平台4、厅级平台2。</w:t>
            </w:r>
            <w:r>
              <w:rPr>
                <w:rFonts w:hint="eastAsia" w:ascii="宋体" w:hAnsi="宋体" w:eastAsia="宋体" w:cs="宋体"/>
                <w:sz w:val="20"/>
                <w:szCs w:val="20"/>
              </w:rPr>
              <w:br w:type="textWrapping"/>
            </w:r>
            <w:r>
              <w:rPr>
                <w:rFonts w:hint="eastAsia" w:ascii="宋体" w:hAnsi="宋体" w:eastAsia="宋体" w:cs="宋体"/>
                <w:sz w:val="20"/>
                <w:szCs w:val="20"/>
              </w:rPr>
              <w:t>学校最终得分为：按计分点数1和计分点数2算出得分高者-当年评估或验收不合格的平台数×1。</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1215"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4.5 科研诚信与学风建设（1分）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4.5.1 制度建设及学术不端行为（1分）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学术委员会制度完善、运转良好，以学校文件形式，明确相关科研诚信与学风建设的奖惩办法；学校文件对科研诚信及学风建设监督性强、约束及引导性明显、可执行度高（1分）；学校当年存在学术失范、学术不端行为的采取倒扣分制，每确认一例扣0.5分，扣完为止。</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1860"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4.6 科研成果质量及影响力（4分）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★4.6.1 重大科研奖励（成果）（2分）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如当年牵头获国家科学技术奖(含教育部人文社科优秀成果奖、国家社科优秀成果文库）、省部级科研奖励一等奖1项及以上，或者在Nature/ Science（非子刊）发表论文1篇及以上的，得满分3分；否则计算得分：计分点数=∑（当年获奖数×成果系数×排名系数）。奖励系数：教育部科学技术优秀成果奖、省科学技术奖和省哲学社会科学优秀成果奖的二等奖为1，三等奖为0.5；排名系数：第一完成单位1，第二完成单位0.3，第三以后完成单位0.1。</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879"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4.6.2 师均高水平论文数（本科高校）（2分）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计分点数＝当年人均被SCI、EI、CPCI（ISTP）、SSCI、CSSCI等收录论文数，计分点数最高的高校得满分，其余学校按比例计算相应得分。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1083"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4.7 拨入科研经费数量（2分）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18"/>
                <w:szCs w:val="18"/>
              </w:rPr>
              <w:t>4.7.1 师均科技项目经费、社科项目经费或综合科研项目经费（2分）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各项分别按人均经费数最高的学校得满分2分，其余学校按比例计算相应得分；三者中最高分为学校最终得分为。</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1191" w:hRule="atLeast"/>
          <w:jc w:val="center"/>
        </w:trPr>
        <w:tc>
          <w:tcPr>
            <w:tcW w:w="1222"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bookmarkStart w:id="1" w:name="OLE_LINK3"/>
            <w:r>
              <w:rPr>
                <w:rFonts w:hint="eastAsia" w:ascii="宋体" w:hAnsi="宋体" w:eastAsia="宋体" w:cs="宋体"/>
                <w:sz w:val="20"/>
                <w:szCs w:val="20"/>
              </w:rPr>
              <w:t>5.社会服务</w:t>
            </w:r>
            <w:bookmarkEnd w:id="1"/>
            <w:r>
              <w:rPr>
                <w:rFonts w:hint="eastAsia" w:ascii="宋体" w:hAnsi="宋体" w:eastAsia="宋体" w:cs="宋体"/>
                <w:sz w:val="20"/>
                <w:szCs w:val="20"/>
              </w:rPr>
              <w:t>（8分）</w:t>
            </w: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5.1 研究、开发、服务机构建设（3分）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★5.1.1 新型研发机构和新型智库建设（1分）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已有新型研发机构和新型智库数最多的高校得满分1分，其余学校按比例计算相应得分；当年新获认定的新型研发机构和新型智库数最多的高校得满分1分，其余学校按比例计算相应得分；两者中的高分作为学校本项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科社处</w:t>
            </w:r>
          </w:p>
        </w:tc>
      </w:tr>
      <w:tr>
        <w:tblPrEx>
          <w:tblLayout w:type="fixed"/>
          <w:tblCellMar>
            <w:top w:w="0" w:type="dxa"/>
            <w:left w:w="108" w:type="dxa"/>
            <w:bottom w:w="0" w:type="dxa"/>
            <w:right w:w="108" w:type="dxa"/>
          </w:tblCellMar>
        </w:tblPrEx>
        <w:trPr>
          <w:trHeight w:val="90"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5.1.2 技术转移机构、科研成果转化服务平台及其他产学研合作平台建设（1分）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学校重视技术转移机构、科研成果转化服务平台及其他产学研合作平台的建设，且投入保障到位、措施有力、运行规范高效、成效显著（1分）。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科社处</w:t>
            </w:r>
          </w:p>
        </w:tc>
      </w:tr>
      <w:tr>
        <w:tblPrEx>
          <w:tblLayout w:type="fixed"/>
          <w:tblCellMar>
            <w:top w:w="0" w:type="dxa"/>
            <w:left w:w="108" w:type="dxa"/>
            <w:bottom w:w="0" w:type="dxa"/>
            <w:right w:w="108" w:type="dxa"/>
          </w:tblCellMar>
        </w:tblPrEx>
        <w:trPr>
          <w:trHeight w:val="90"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5.1.3 有关研究、开发、服务机构的运作及产出情况（1分）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学校重视技术研究、开发、服务机构的的建设，且投入保障到位、措施有力、运行规范高效、成效显著（1分）。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科社处</w:t>
            </w:r>
          </w:p>
        </w:tc>
      </w:tr>
      <w:tr>
        <w:tblPrEx>
          <w:tblLayout w:type="fixed"/>
          <w:tblCellMar>
            <w:top w:w="0" w:type="dxa"/>
            <w:left w:w="108" w:type="dxa"/>
            <w:bottom w:w="0" w:type="dxa"/>
            <w:right w:w="108" w:type="dxa"/>
          </w:tblCellMar>
        </w:tblPrEx>
        <w:trPr>
          <w:trHeight w:val="993"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5.2 知识产权创造（1分）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5.2.1 发明专利申报授权及专利奖（1分）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若学校当年获得国家或省专利奖1项以上的，本项得满分1分；</w:t>
            </w:r>
            <w:r>
              <w:rPr>
                <w:rFonts w:hint="eastAsia" w:ascii="宋体" w:hAnsi="宋体" w:eastAsia="宋体" w:cs="宋体"/>
                <w:sz w:val="20"/>
                <w:szCs w:val="20"/>
              </w:rPr>
              <w:br w:type="textWrapping"/>
            </w:r>
            <w:r>
              <w:rPr>
                <w:rFonts w:hint="eastAsia" w:ascii="宋体" w:hAnsi="宋体" w:eastAsia="宋体" w:cs="宋体"/>
                <w:sz w:val="20"/>
                <w:szCs w:val="20"/>
              </w:rPr>
              <w:t>否则计算得分：计分点数=∑（当年发明专利申报数+当年发明专利授权数×2），计分点数最高的学校得满分1分，其余学校按比例计算相应得分。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714"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5.3 科研服</w:t>
            </w:r>
            <w:bookmarkStart w:id="3" w:name="_GoBack"/>
            <w:bookmarkEnd w:id="3"/>
            <w:r>
              <w:rPr>
                <w:rFonts w:hint="eastAsia" w:ascii="宋体" w:hAnsi="宋体" w:eastAsia="宋体" w:cs="宋体"/>
                <w:sz w:val="20"/>
                <w:szCs w:val="20"/>
              </w:rPr>
              <w:t>务及成果转化（4分）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★5.3.1 横向合作经费（1分）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计分点数=当年学校人均横向经费（万元/人）；按计分点数最高的学校得满分1分，其余学校按比例计算相应得分；横向经费指非财政性资金来源的委托项目经费。</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科技处</w:t>
            </w:r>
          </w:p>
        </w:tc>
      </w:tr>
      <w:tr>
        <w:tblPrEx>
          <w:tblLayout w:type="fixed"/>
          <w:tblCellMar>
            <w:top w:w="0" w:type="dxa"/>
            <w:left w:w="108" w:type="dxa"/>
            <w:bottom w:w="0" w:type="dxa"/>
            <w:right w:w="108" w:type="dxa"/>
          </w:tblCellMar>
        </w:tblPrEx>
        <w:trPr>
          <w:trHeight w:val="639"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5.3.2 成果转让经费（1分）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计分点数=当年学校人均成果转化经费（按实际收入，万元/人）；按计分点数最高的学校得满分2分，其余学校按比例计算相应得分。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科社处</w:t>
            </w:r>
          </w:p>
        </w:tc>
      </w:tr>
      <w:tr>
        <w:tblPrEx>
          <w:tblLayout w:type="fixed"/>
          <w:tblCellMar>
            <w:top w:w="0" w:type="dxa"/>
            <w:left w:w="108" w:type="dxa"/>
            <w:bottom w:w="0" w:type="dxa"/>
            <w:right w:w="108" w:type="dxa"/>
          </w:tblCellMar>
        </w:tblPrEx>
        <w:trPr>
          <w:trHeight w:val="1275"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5.3.3 咨政建言或服务中小学教师专业发展（1分）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积极针对经济社会发展现实问题开展政策研究，形成高质量、有影响的咨询报告，得到政府或行业协会采纳（非师范类高校1分，师范类高校0.5分）；师范类高效应积极服务中小学（含中职学校，下同）教师专业发展，促进中小学教师队伍水平提升（师范类高校0.5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bookmarkStart w:id="2" w:name="OLE_LINK1"/>
            <w:r>
              <w:rPr>
                <w:rFonts w:hint="eastAsia" w:ascii="宋体" w:hAnsi="宋体" w:eastAsia="宋体" w:cs="宋体"/>
                <w:sz w:val="20"/>
                <w:szCs w:val="20"/>
                <w:lang w:eastAsia="zh-CN"/>
              </w:rPr>
              <w:t>科社处</w:t>
            </w:r>
            <w:bookmarkEnd w:id="2"/>
          </w:p>
        </w:tc>
      </w:tr>
      <w:tr>
        <w:tblPrEx>
          <w:tblLayout w:type="fixed"/>
          <w:tblCellMar>
            <w:top w:w="0" w:type="dxa"/>
            <w:left w:w="108" w:type="dxa"/>
            <w:bottom w:w="0" w:type="dxa"/>
            <w:right w:w="108" w:type="dxa"/>
          </w:tblCellMar>
        </w:tblPrEx>
        <w:trPr>
          <w:trHeight w:val="801"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5.3.4 科研成果转化应用典型案例（1分）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学校在科研成果转化应用方面有取得良好效益和示范效应的典型案例，且该案例要求是没有体现在其他考核指标当中的。</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lang w:eastAsia="zh-CN"/>
              </w:rPr>
              <w:t>科社处</w:t>
            </w:r>
          </w:p>
        </w:tc>
      </w:tr>
      <w:tr>
        <w:tblPrEx>
          <w:tblLayout w:type="fixed"/>
          <w:tblCellMar>
            <w:top w:w="0" w:type="dxa"/>
            <w:left w:w="108" w:type="dxa"/>
            <w:bottom w:w="0" w:type="dxa"/>
            <w:right w:w="108" w:type="dxa"/>
          </w:tblCellMar>
        </w:tblPrEx>
        <w:trPr>
          <w:trHeight w:val="2028" w:hRule="atLeast"/>
          <w:jc w:val="center"/>
        </w:trPr>
        <w:tc>
          <w:tcPr>
            <w:tcW w:w="1222"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6.综合管理绩效评价（12分）</w:t>
            </w: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6.1资源统筹力度及合理配置(4.5分)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★6.1.1学校统筹力度和支出结构（2.5分）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（1）学校预算安排教学经费符合教育部教学评估要求得0.5分；决算教学支出符合教育部教学评估要求得0.5分。</w:t>
            </w:r>
            <w:r>
              <w:rPr>
                <w:rFonts w:hint="eastAsia" w:ascii="宋体" w:hAnsi="宋体" w:eastAsia="宋体" w:cs="宋体"/>
                <w:sz w:val="20"/>
                <w:szCs w:val="20"/>
              </w:rPr>
              <w:br w:type="textWrapping"/>
            </w:r>
            <w:r>
              <w:rPr>
                <w:rFonts w:hint="eastAsia" w:ascii="宋体" w:hAnsi="宋体" w:eastAsia="宋体" w:cs="宋体"/>
                <w:sz w:val="20"/>
                <w:szCs w:val="20"/>
              </w:rPr>
              <w:t>（2）人员经费占总支出比例：</w:t>
            </w:r>
            <w:r>
              <w:rPr>
                <w:rFonts w:hint="eastAsia" w:ascii="宋体" w:hAnsi="宋体" w:eastAsia="宋体" w:cs="宋体"/>
                <w:sz w:val="20"/>
                <w:szCs w:val="20"/>
              </w:rPr>
              <w:br w:type="textWrapping"/>
            </w:r>
            <w:r>
              <w:rPr>
                <w:rFonts w:hint="eastAsia" w:ascii="宋体" w:hAnsi="宋体" w:eastAsia="宋体" w:cs="宋体"/>
                <w:sz w:val="20"/>
                <w:szCs w:val="20"/>
              </w:rPr>
              <w:t>占比＜50%得1分，50%≤占比＜55%得0.5分，占比＞55%不得分。</w:t>
            </w:r>
            <w:r>
              <w:rPr>
                <w:rFonts w:hint="eastAsia" w:ascii="宋体" w:hAnsi="宋体" w:eastAsia="宋体" w:cs="宋体"/>
                <w:sz w:val="20"/>
                <w:szCs w:val="20"/>
              </w:rPr>
              <w:br w:type="textWrapping"/>
            </w:r>
            <w:r>
              <w:rPr>
                <w:rFonts w:hint="eastAsia" w:ascii="宋体" w:hAnsi="宋体" w:eastAsia="宋体" w:cs="宋体"/>
                <w:sz w:val="20"/>
                <w:szCs w:val="20"/>
              </w:rPr>
              <w:t>（3）其他资本性支出占教育事业支出比例：</w:t>
            </w:r>
            <w:r>
              <w:rPr>
                <w:rFonts w:hint="eastAsia" w:ascii="宋体" w:hAnsi="宋体" w:eastAsia="宋体" w:cs="宋体"/>
                <w:sz w:val="20"/>
                <w:szCs w:val="20"/>
              </w:rPr>
              <w:br w:type="textWrapping"/>
            </w:r>
            <w:r>
              <w:rPr>
                <w:rFonts w:hint="eastAsia" w:ascii="宋体" w:hAnsi="宋体" w:eastAsia="宋体" w:cs="宋体"/>
                <w:sz w:val="20"/>
                <w:szCs w:val="20"/>
              </w:rPr>
              <w:t>占比≥20%得0.5分，10%≤占比＜20%得0.2分，占比＜10%不得分。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财务处</w:t>
            </w:r>
          </w:p>
        </w:tc>
      </w:tr>
      <w:tr>
        <w:tblPrEx>
          <w:tblLayout w:type="fixed"/>
          <w:tblCellMar>
            <w:top w:w="0" w:type="dxa"/>
            <w:left w:w="108" w:type="dxa"/>
            <w:bottom w:w="0" w:type="dxa"/>
            <w:right w:w="108" w:type="dxa"/>
          </w:tblCellMar>
        </w:tblPrEx>
        <w:trPr>
          <w:trHeight w:val="1707"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6.1.2财务管理（2分）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（1）认真落实高校财务管理意见，制订并有效执行财务管理制度、内部控制制度、经济责任制度、“三重一大”制度（0.5分）；及时有效公开财务信息，财务审计或检查无问题（0.5分）。</w:t>
            </w:r>
            <w:r>
              <w:rPr>
                <w:rFonts w:hint="eastAsia" w:ascii="宋体" w:hAnsi="宋体" w:eastAsia="宋体" w:cs="宋体"/>
                <w:sz w:val="20"/>
                <w:szCs w:val="20"/>
              </w:rPr>
              <w:br w:type="textWrapping"/>
            </w:r>
            <w:r>
              <w:rPr>
                <w:rFonts w:hint="eastAsia" w:ascii="宋体" w:hAnsi="宋体" w:eastAsia="宋体" w:cs="宋体"/>
                <w:sz w:val="20"/>
                <w:szCs w:val="20"/>
              </w:rPr>
              <w:t>（2）积极筹措资金提前偿还到期债务得0.2分；生均负债率下降5%以上得0.3分。如无债务或已还清债务则得0.5分。</w:t>
            </w:r>
            <w:r>
              <w:rPr>
                <w:rFonts w:hint="eastAsia" w:ascii="宋体" w:hAnsi="宋体" w:eastAsia="宋体" w:cs="宋体"/>
                <w:sz w:val="20"/>
                <w:szCs w:val="20"/>
              </w:rPr>
              <w:br w:type="textWrapping"/>
            </w:r>
            <w:r>
              <w:rPr>
                <w:rFonts w:hint="eastAsia" w:ascii="宋体" w:hAnsi="宋体" w:eastAsia="宋体" w:cs="宋体"/>
                <w:sz w:val="20"/>
                <w:szCs w:val="20"/>
              </w:rPr>
              <w:t>（3）部门决算、企业决算报表两类报表每项获得通报表扬得0.2分，两项均获通报表扬得0.5分。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财务处</w:t>
            </w:r>
          </w:p>
        </w:tc>
      </w:tr>
      <w:tr>
        <w:tblPrEx>
          <w:tblLayout w:type="fixed"/>
          <w:tblCellMar>
            <w:top w:w="0" w:type="dxa"/>
            <w:left w:w="108" w:type="dxa"/>
            <w:bottom w:w="0" w:type="dxa"/>
            <w:right w:w="108" w:type="dxa"/>
          </w:tblCellMar>
        </w:tblPrEx>
        <w:trPr>
          <w:trHeight w:val="2055"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6.2预算执行进度和绩效（3分）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★6.2.1国库集中支付项目支出进度(2分)</w:t>
            </w:r>
          </w:p>
        </w:tc>
        <w:tc>
          <w:tcPr>
            <w:tcW w:w="8784" w:type="dxa"/>
            <w:tcBorders>
              <w:top w:val="nil"/>
              <w:left w:val="nil"/>
              <w:bottom w:val="single" w:color="auto" w:sz="4" w:space="0"/>
              <w:right w:val="single" w:color="auto" w:sz="4" w:space="0"/>
            </w:tcBorders>
            <w:shd w:val="clear" w:color="000000" w:fill="FFFFFF"/>
            <w:vAlign w:val="center"/>
          </w:tcPr>
          <w:p>
            <w:pPr>
              <w:numPr>
                <w:ilvl w:val="0"/>
                <w:numId w:val="1"/>
              </w:num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省财政厅当年6月30日时间节点公布的学校项目支出进度与省教育厅项目支出进度相比：差值≥10%得0.5分，0≤差值＜10%得0.3分，-10%≤差值＜0得0.2分，差值＜-10%不得分。</w:t>
            </w:r>
            <w:r>
              <w:rPr>
                <w:rFonts w:hint="eastAsia" w:ascii="宋体" w:hAnsi="宋体" w:eastAsia="宋体" w:cs="宋体"/>
                <w:sz w:val="20"/>
                <w:szCs w:val="20"/>
              </w:rPr>
              <w:br w:type="textWrapping"/>
            </w:r>
            <w:r>
              <w:rPr>
                <w:rFonts w:hint="eastAsia" w:ascii="宋体" w:hAnsi="宋体" w:eastAsia="宋体" w:cs="宋体"/>
                <w:sz w:val="20"/>
                <w:szCs w:val="20"/>
              </w:rPr>
              <w:t>（2）省财政厅当年9月30日时间节点公布的学校项目支出进度与省教育厅项目支出进度相比：差值≥10%得0.5分，0≤差值＜10%得0.3分，-10%≤差值＜0得0.2分，差值＜-10%不得分。</w:t>
            </w:r>
            <w:r>
              <w:rPr>
                <w:rFonts w:hint="eastAsia" w:ascii="宋体" w:hAnsi="宋体" w:eastAsia="宋体" w:cs="宋体"/>
                <w:sz w:val="20"/>
                <w:szCs w:val="20"/>
              </w:rPr>
              <w:br w:type="textWrapping"/>
            </w:r>
            <w:r>
              <w:rPr>
                <w:rFonts w:hint="eastAsia" w:ascii="宋体" w:hAnsi="宋体" w:eastAsia="宋体" w:cs="宋体"/>
                <w:sz w:val="20"/>
                <w:szCs w:val="20"/>
              </w:rPr>
              <w:t>（3）省财政厅当年12月31日时间节点公布的学校项目支出进度与省教育厅项目支出进度相比：差值≥10%得1分，0≤差值＜10%得0.3分，-10%≤差值＜0得0.1分，差值＜-10%不得分。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财务处</w:t>
            </w:r>
          </w:p>
        </w:tc>
      </w:tr>
      <w:tr>
        <w:tblPrEx>
          <w:tblLayout w:type="fixed"/>
          <w:tblCellMar>
            <w:top w:w="0" w:type="dxa"/>
            <w:left w:w="108" w:type="dxa"/>
            <w:bottom w:w="0" w:type="dxa"/>
            <w:right w:w="108" w:type="dxa"/>
          </w:tblCellMar>
        </w:tblPrEx>
        <w:trPr>
          <w:trHeight w:val="90"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6.2.2绩效评价工作（1分）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学校绩效评价制度健全和体系完整得0.3分；绩效评价资料质量高得0.5分；绩效评价结果用于学校年度考核或被检查单位（项目）提交整改报告并落实整改得0.2分。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财务处</w:t>
            </w:r>
          </w:p>
        </w:tc>
      </w:tr>
      <w:tr>
        <w:tblPrEx>
          <w:tblLayout w:type="fixed"/>
          <w:tblCellMar>
            <w:top w:w="0" w:type="dxa"/>
            <w:left w:w="108" w:type="dxa"/>
            <w:bottom w:w="0" w:type="dxa"/>
            <w:right w:w="108" w:type="dxa"/>
          </w:tblCellMar>
        </w:tblPrEx>
        <w:trPr>
          <w:trHeight w:val="831"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restart"/>
            <w:tcBorders>
              <w:top w:val="nil"/>
              <w:left w:val="single" w:color="auto" w:sz="4" w:space="0"/>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6.3“创新强校工程”建设资金管理情况（4.5分）</w:t>
            </w: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6.3.1“创新强校工程”项目管理（1分）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制订“创新强校工程”项目遴选办法、项目库管理办法、专项资金管理办法及绩效考核办法，每个办法得0.2分，有效执行得0.2分。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创强办</w:t>
            </w:r>
          </w:p>
        </w:tc>
      </w:tr>
      <w:tr>
        <w:tblPrEx>
          <w:tblLayout w:type="fixed"/>
          <w:tblCellMar>
            <w:top w:w="0" w:type="dxa"/>
            <w:left w:w="108" w:type="dxa"/>
            <w:bottom w:w="0" w:type="dxa"/>
            <w:right w:w="108" w:type="dxa"/>
          </w:tblCellMar>
        </w:tblPrEx>
        <w:trPr>
          <w:trHeight w:val="3034" w:hRule="atLeast"/>
          <w:jc w:val="center"/>
        </w:trPr>
        <w:tc>
          <w:tcPr>
            <w:tcW w:w="1222"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adjustRightInd/>
              <w:snapToGrid/>
              <w:spacing w:after="0"/>
              <w:jc w:val="center"/>
              <w:rPr>
                <w:rFonts w:ascii="宋体" w:hAnsi="宋体" w:eastAsia="宋体" w:cs="宋体"/>
                <w:sz w:val="20"/>
                <w:szCs w:val="20"/>
              </w:rPr>
            </w:pPr>
          </w:p>
        </w:tc>
        <w:tc>
          <w:tcPr>
            <w:tcW w:w="178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r>
              <w:rPr>
                <w:rFonts w:hint="eastAsia" w:ascii="宋体" w:hAnsi="宋体" w:eastAsia="宋体" w:cs="宋体"/>
                <w:sz w:val="20"/>
                <w:szCs w:val="20"/>
              </w:rPr>
              <w:t>★6.3.2“创新强校工程”项目资金安排及预算执行（3.5分）</w:t>
            </w:r>
          </w:p>
        </w:tc>
        <w:tc>
          <w:tcPr>
            <w:tcW w:w="8784" w:type="dxa"/>
            <w:tcBorders>
              <w:top w:val="nil"/>
              <w:left w:val="nil"/>
              <w:bottom w:val="single" w:color="auto" w:sz="4" w:space="0"/>
              <w:right w:val="single" w:color="auto" w:sz="4" w:space="0"/>
            </w:tcBorders>
            <w:shd w:val="clear" w:color="000000" w:fill="FFFFFF"/>
            <w:vAlign w:val="center"/>
          </w:tcPr>
          <w:p>
            <w:pPr>
              <w:adjustRightInd/>
              <w:snapToGrid/>
              <w:spacing w:after="0"/>
              <w:jc w:val="left"/>
              <w:rPr>
                <w:rFonts w:hint="eastAsia" w:ascii="宋体" w:hAnsi="宋体" w:eastAsia="宋体" w:cs="宋体"/>
                <w:sz w:val="20"/>
                <w:szCs w:val="20"/>
              </w:rPr>
            </w:pPr>
            <w:r>
              <w:rPr>
                <w:rFonts w:hint="eastAsia" w:ascii="宋体" w:hAnsi="宋体" w:eastAsia="宋体" w:cs="宋体"/>
                <w:sz w:val="20"/>
                <w:szCs w:val="20"/>
              </w:rPr>
              <w:t>（1）制定年度项目任务及资金安排计划（预算）并及时报送主管部门（0.5分）。</w:t>
            </w:r>
            <w:r>
              <w:rPr>
                <w:rFonts w:hint="eastAsia" w:ascii="宋体" w:hAnsi="宋体" w:eastAsia="宋体" w:cs="宋体"/>
                <w:sz w:val="20"/>
                <w:szCs w:val="20"/>
              </w:rPr>
              <w:br w:type="textWrapping"/>
            </w:r>
            <w:r>
              <w:rPr>
                <w:rFonts w:hint="eastAsia" w:ascii="宋体" w:hAnsi="宋体" w:eastAsia="宋体" w:cs="宋体"/>
                <w:sz w:val="20"/>
                <w:szCs w:val="20"/>
              </w:rPr>
              <w:t>（2）资金安排突出重点得0.5分，平均分配、“撒胡椒面”或不能体现突出重点则不得分。</w:t>
            </w:r>
            <w:r>
              <w:rPr>
                <w:rFonts w:hint="eastAsia" w:ascii="宋体" w:hAnsi="宋体" w:eastAsia="宋体" w:cs="宋体"/>
                <w:sz w:val="20"/>
                <w:szCs w:val="20"/>
              </w:rPr>
              <w:br w:type="textWrapping"/>
            </w:r>
            <w:r>
              <w:rPr>
                <w:rFonts w:hint="eastAsia" w:ascii="宋体" w:hAnsi="宋体" w:eastAsia="宋体" w:cs="宋体"/>
                <w:sz w:val="20"/>
                <w:szCs w:val="20"/>
              </w:rPr>
              <w:t>（3）统筹非财政专项资金用于“创新强校工程”项目建设占“创新强校工程”项目建设资金比例：</w:t>
            </w:r>
            <w:r>
              <w:rPr>
                <w:rFonts w:hint="eastAsia" w:ascii="宋体" w:hAnsi="宋体" w:eastAsia="宋体" w:cs="宋体"/>
                <w:sz w:val="20"/>
                <w:szCs w:val="20"/>
              </w:rPr>
              <w:br w:type="textWrapping"/>
            </w:r>
            <w:r>
              <w:rPr>
                <w:rFonts w:hint="eastAsia" w:ascii="宋体" w:hAnsi="宋体" w:eastAsia="宋体" w:cs="宋体"/>
                <w:sz w:val="20"/>
                <w:szCs w:val="20"/>
              </w:rPr>
              <w:t>占比≥30%得1分，10%≤占比＜30%得0.5分，占比＜10%不得分。</w:t>
            </w:r>
            <w:r>
              <w:rPr>
                <w:rFonts w:hint="eastAsia" w:ascii="宋体" w:hAnsi="宋体" w:eastAsia="宋体" w:cs="宋体"/>
                <w:sz w:val="20"/>
                <w:szCs w:val="20"/>
              </w:rPr>
              <w:br w:type="textWrapping"/>
            </w:r>
            <w:r>
              <w:rPr>
                <w:rFonts w:hint="eastAsia" w:ascii="宋体" w:hAnsi="宋体" w:eastAsia="宋体" w:cs="宋体"/>
                <w:sz w:val="20"/>
                <w:szCs w:val="20"/>
              </w:rPr>
              <w:t>（4）严格执行年度项目预算，预算调整金额占年度项目预算的比例：</w:t>
            </w:r>
            <w:r>
              <w:rPr>
                <w:rFonts w:hint="eastAsia" w:ascii="宋体" w:hAnsi="宋体" w:eastAsia="宋体" w:cs="宋体"/>
                <w:sz w:val="20"/>
                <w:szCs w:val="20"/>
              </w:rPr>
              <w:br w:type="textWrapping"/>
            </w:r>
            <w:r>
              <w:rPr>
                <w:rFonts w:hint="eastAsia" w:ascii="宋体" w:hAnsi="宋体" w:eastAsia="宋体" w:cs="宋体"/>
                <w:sz w:val="20"/>
                <w:szCs w:val="20"/>
              </w:rPr>
              <w:t>占比=0，得0.5分，0＜占比≤5%，得0.3分，占比＞5%不得分。</w:t>
            </w:r>
            <w:r>
              <w:rPr>
                <w:rFonts w:hint="eastAsia" w:ascii="宋体" w:hAnsi="宋体" w:eastAsia="宋体" w:cs="宋体"/>
                <w:sz w:val="20"/>
                <w:szCs w:val="20"/>
              </w:rPr>
              <w:br w:type="textWrapping"/>
            </w:r>
            <w:r>
              <w:rPr>
                <w:rFonts w:hint="eastAsia" w:ascii="宋体" w:hAnsi="宋体" w:eastAsia="宋体" w:cs="宋体"/>
                <w:sz w:val="20"/>
                <w:szCs w:val="20"/>
              </w:rPr>
              <w:t>（5）年末“创新强校工程”项目支出进度（年度项目财政资金进度）：</w:t>
            </w:r>
            <w:r>
              <w:rPr>
                <w:rFonts w:hint="eastAsia" w:ascii="宋体" w:hAnsi="宋体" w:eastAsia="宋体" w:cs="宋体"/>
                <w:sz w:val="20"/>
                <w:szCs w:val="20"/>
              </w:rPr>
              <w:br w:type="textWrapping"/>
            </w:r>
            <w:r>
              <w:rPr>
                <w:rFonts w:hint="eastAsia" w:ascii="宋体" w:hAnsi="宋体" w:eastAsia="宋体" w:cs="宋体"/>
                <w:sz w:val="20"/>
                <w:szCs w:val="20"/>
              </w:rPr>
              <w:t>进度≥95%得1分，80%≤进度＜95%得0.5分，进度＜80%不得分。</w:t>
            </w:r>
          </w:p>
        </w:tc>
        <w:tc>
          <w:tcPr>
            <w:tcW w:w="735"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rPr>
            </w:pPr>
          </w:p>
        </w:tc>
        <w:tc>
          <w:tcPr>
            <w:tcW w:w="1021" w:type="dxa"/>
            <w:tcBorders>
              <w:top w:val="nil"/>
              <w:left w:val="nil"/>
              <w:bottom w:val="single" w:color="auto" w:sz="4" w:space="0"/>
              <w:right w:val="single" w:color="auto" w:sz="4" w:space="0"/>
            </w:tcBorders>
            <w:shd w:val="clear" w:color="000000" w:fill="FFFFFF"/>
            <w:vAlign w:val="center"/>
          </w:tcPr>
          <w:p>
            <w:pPr>
              <w:adjustRightInd/>
              <w:snapToGrid/>
              <w:spacing w:after="0"/>
              <w:jc w:val="center"/>
              <w:rPr>
                <w:rFonts w:hint="eastAsia" w:ascii="宋体" w:hAnsi="宋体" w:eastAsia="宋体" w:cs="宋体"/>
                <w:sz w:val="20"/>
                <w:szCs w:val="20"/>
                <w:lang w:eastAsia="zh-CN"/>
              </w:rPr>
            </w:pPr>
            <w:r>
              <w:rPr>
                <w:rFonts w:hint="eastAsia" w:ascii="宋体" w:hAnsi="宋体" w:eastAsia="宋体" w:cs="宋体"/>
                <w:sz w:val="20"/>
                <w:szCs w:val="20"/>
                <w:lang w:eastAsia="zh-CN"/>
              </w:rPr>
              <w:t>创强办</w:t>
            </w:r>
          </w:p>
        </w:tc>
      </w:tr>
    </w:tbl>
    <w:p>
      <w:pPr>
        <w:spacing w:line="560" w:lineRule="exact"/>
        <w:jc w:val="both"/>
        <w:rPr>
          <w:rFonts w:ascii="方正小标宋简体" w:eastAsia="方正小标宋简体"/>
          <w:color w:val="000000"/>
        </w:rPr>
      </w:pPr>
    </w:p>
    <w:p/>
    <w:sectPr>
      <w:headerReference r:id="rId3" w:type="default"/>
      <w:footerReference r:id="rId4" w:type="default"/>
      <w:pgSz w:w="16838" w:h="11906" w:orient="landscape"/>
      <w:pgMar w:top="-17" w:right="0" w:bottom="0" w:left="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B9C86"/>
    <w:multiLevelType w:val="singleLevel"/>
    <w:tmpl w:val="576B9C8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82F04"/>
    <w:rsid w:val="08CA6F5A"/>
    <w:rsid w:val="1E396460"/>
    <w:rsid w:val="24836C94"/>
    <w:rsid w:val="266F014C"/>
    <w:rsid w:val="2B4B2AA0"/>
    <w:rsid w:val="467218A2"/>
    <w:rsid w:val="47C867C1"/>
    <w:rsid w:val="47D82F04"/>
    <w:rsid w:val="5ABA322E"/>
    <w:rsid w:val="68970A92"/>
    <w:rsid w:val="69A9752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sz w:val="22"/>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2016-06-21T08:51:00Z</dcterms:created>
  <dc:creator>Administrator</dc:creator>
  <cp:lastModifiedBy>Administrator</cp:lastModifiedBy>
  <dcterms:modified xsi:type="dcterms:W3CDTF">2016-07-01T06:30:07Z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